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ato" w:cs="Lato" w:eastAsia="Lato" w:hAnsi="Lato"/>
          <w:b w:val="1"/>
          <w:color w:val="70ad47"/>
          <w:sz w:val="32"/>
          <w:szCs w:val="32"/>
        </w:rPr>
      </w:pPr>
      <w:sdt>
        <w:sdtPr>
          <w:id w:val="1760073063"/>
          <w:tag w:val="goog_rdk_0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32"/>
              <w:szCs w:val="32"/>
              <w:rtl w:val="0"/>
            </w:rPr>
            <w:t xml:space="preserve">Շնորհավորում ենք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color w:val="70ad47"/>
          <w:sz w:val="32"/>
          <w:szCs w:val="32"/>
        </w:rPr>
      </w:pPr>
      <w:sdt>
        <w:sdtPr>
          <w:id w:val="-537257089"/>
          <w:tag w:val="goog_rdk_1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32"/>
              <w:szCs w:val="32"/>
              <w:rtl w:val="0"/>
            </w:rPr>
            <w:t xml:space="preserve">Դուք կատարել եք կանաչ ընտրություն՝ մնալով Green Key սերտիֆիկացված հյուրանոցում</w:t>
          </w:r>
        </w:sdtContent>
      </w:sdt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color w:val="7f7f7f"/>
          <w:sz w:val="24"/>
          <w:szCs w:val="24"/>
        </w:rPr>
      </w:pPr>
      <w:sdt>
        <w:sdtPr>
          <w:id w:val="-354973749"/>
          <w:tag w:val="goog_rdk_2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Օգնեք մեզ էլ ավելի նվազեցնել մեր շրջակա միջավայրի ազդեցությունը և ռեսուրսների օգտագործումը՝ հետևելով այս խորհուրդներին ձեր հանգստի ընթացքում:</w:t>
          </w:r>
        </w:sdtContent>
      </w:sdt>
    </w:p>
    <w:p w:rsidR="00000000" w:rsidDel="00000000" w:rsidP="00000000" w:rsidRDefault="00000000" w:rsidRPr="00000000" w14:paraId="00000004">
      <w:pPr>
        <w:rPr>
          <w:rFonts w:ascii="Lato" w:cs="Lato" w:eastAsia="Lato" w:hAnsi="Lato"/>
          <w:color w:val="7f7f7f"/>
          <w:sz w:val="24"/>
          <w:szCs w:val="24"/>
        </w:rPr>
        <w:sectPr>
          <w:footerReference r:id="rId7" w:type="default"/>
          <w:pgSz w:h="16838" w:w="11906" w:orient="portrait"/>
          <w:pgMar w:bottom="1701" w:top="1701" w:left="1134" w:right="1134" w:header="708" w:footer="708"/>
          <w:pgNumType w:start="1"/>
        </w:sectPr>
      </w:pPr>
      <w:sdt>
        <w:sdtPr>
          <w:id w:val="1074566455"/>
          <w:tag w:val="goog_rdk_3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Այս քայլերը բավականին պարզ են, բայց դրանք մեծ ազդեցություն ունեն շրջակա միջավայրի վրա։</w:t>
          </w:r>
        </w:sdtContent>
      </w:sdt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  <w:sectPr>
          <w:type w:val="continuous"/>
          <w:pgSz w:h="16838" w:w="11906" w:orient="portrait"/>
          <w:pgMar w:bottom="1701" w:top="1701" w:left="1134" w:right="1134" w:header="708" w:footer="708"/>
          <w:cols w:equalWidth="0" w:num="2">
            <w:col w:space="708" w:w="4464.999999999999"/>
            <w:col w:space="0" w:w="4464.99999999999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134"/>
        <w:rPr>
          <w:rFonts w:ascii="Lato" w:cs="Lato" w:eastAsia="Lato" w:hAnsi="Lato"/>
          <w:b w:val="1"/>
          <w:color w:val="70ad47"/>
          <w:sz w:val="24"/>
          <w:szCs w:val="24"/>
        </w:rPr>
      </w:pPr>
      <w:sdt>
        <w:sdtPr>
          <w:id w:val="-558448058"/>
          <w:tag w:val="goog_rdk_4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Օգտագործե՛ք սրբիչը մեկ լրացուցիչ օր</w:t>
          </w:r>
        </w:sdtContent>
      </w:sdt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211900</wp:posOffset>
            </wp:positionV>
            <wp:extent cx="841187" cy="754911"/>
            <wp:effectExtent b="0" l="0" r="0" t="0"/>
            <wp:wrapNone/>
            <wp:docPr id="7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1187" cy="754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ind w:left="1134" w:firstLine="0"/>
        <w:jc w:val="both"/>
        <w:rPr>
          <w:rFonts w:ascii="Lato" w:cs="Lato" w:eastAsia="Lato" w:hAnsi="Lato"/>
          <w:color w:val="7f7f7f"/>
          <w:sz w:val="24"/>
          <w:szCs w:val="24"/>
        </w:rPr>
      </w:pPr>
      <w:sdt>
        <w:sdtPr>
          <w:id w:val="-378196191"/>
          <w:tag w:val="goog_rdk_5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Լվացքի միջոցների, փաթեթավորման, ջրի և էներգիայի օգտագործումը կրճատելու համար մենք ձեզ առաջարկում ենք օգտագործել Ձեր սրբիչը մեկ լրացուցիչ օր։ Եթե ցանկանում եք վերօգտագործել Ձեր սրբիչը, խնդրում ենք կախել այն։ Հակառակ դեպքում թողեք այն հատակին, և մենք այն կփոխենք։</w:t>
          </w:r>
        </w:sdtContent>
      </w:sdt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-213994</wp:posOffset>
            </wp:positionH>
            <wp:positionV relativeFrom="paragraph">
              <wp:posOffset>956119</wp:posOffset>
            </wp:positionV>
            <wp:extent cx="742950" cy="765128"/>
            <wp:effectExtent b="0" l="0" r="0" t="0"/>
            <wp:wrapNone/>
            <wp:docPr id="7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51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left="1134" w:firstLine="0"/>
        <w:jc w:val="both"/>
        <w:rPr>
          <w:rFonts w:ascii="Lato" w:cs="Lato" w:eastAsia="Lato" w:hAnsi="Lato"/>
          <w:b w:val="1"/>
          <w:color w:val="7f7f7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7f7f7f"/>
          <w:sz w:val="24"/>
          <w:szCs w:val="24"/>
          <w:rtl w:val="0"/>
        </w:rPr>
        <w:br w:type="textWrapping"/>
      </w:r>
      <w:sdt>
        <w:sdtPr>
          <w:id w:val="-1513734555"/>
          <w:tag w:val="goog_rdk_6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Տեսակավորե՛ք թափոնները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134" w:firstLine="0"/>
        <w:jc w:val="both"/>
        <w:rPr>
          <w:rFonts w:ascii="Lato" w:cs="Lato" w:eastAsia="Lato" w:hAnsi="Lato"/>
          <w:b w:val="1"/>
          <w:color w:val="7f7f7f"/>
          <w:sz w:val="24"/>
          <w:szCs w:val="24"/>
        </w:rPr>
      </w:pPr>
      <w:sdt>
        <w:sdtPr>
          <w:id w:val="974474362"/>
          <w:tag w:val="goog_rdk_7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Թափոնները ռեսուրս են, որոնք կարող են վերօգտագործվել: Թուղթը, թերթը, ապակին և պլաստիկը թողեք սենյակում կամ կոնֆերանս սեղանի վրա կամ լցրեք դրանք տեսակավորման ամանների մեջ, իսկ վտանգավոր թափոնները տվե՛ք ընդունարանի աշխատակցին:</w:t>
            <w:br w:type="textWrapping"/>
            <w:br w:type="textWrapping"/>
          </w:r>
        </w:sdtContent>
      </w:sdt>
      <w:sdt>
        <w:sdtPr>
          <w:id w:val="1504128268"/>
          <w:tag w:val="goog_rdk_8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Ջուր խմե՛ք ծորակից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-149414</wp:posOffset>
            </wp:positionH>
            <wp:positionV relativeFrom="paragraph">
              <wp:posOffset>951230</wp:posOffset>
            </wp:positionV>
            <wp:extent cx="731075" cy="796925"/>
            <wp:effectExtent b="0" l="0" r="0" t="0"/>
            <wp:wrapNone/>
            <wp:docPr id="72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075" cy="79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ind w:left="1134" w:firstLine="0"/>
        <w:jc w:val="both"/>
        <w:rPr>
          <w:rFonts w:ascii="Lato" w:cs="Lato" w:eastAsia="Lato" w:hAnsi="Lato"/>
          <w:color w:val="7f7f7f"/>
          <w:sz w:val="24"/>
          <w:szCs w:val="24"/>
        </w:rPr>
      </w:pPr>
      <w:sdt>
        <w:sdtPr>
          <w:id w:val="378732385"/>
          <w:tag w:val="goog_rdk_9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Ծորակից 1 լիտր խմելու ջուրը մթնոլորտ է արտանետում 1000-ից 2000 անգամ պակաս CO2, քան 1 լիտր շշալցված ջուրը: Եթե վստահ չեք, ընդունարանում հարցրեք, արդյո՞ք կարող եք խմել ծորակից ջուրը։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-102869</wp:posOffset>
            </wp:positionH>
            <wp:positionV relativeFrom="paragraph">
              <wp:posOffset>1003744</wp:posOffset>
            </wp:positionV>
            <wp:extent cx="669852" cy="701750"/>
            <wp:effectExtent b="0" l="0" r="0" t="0"/>
            <wp:wrapNone/>
            <wp:docPr id="7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852" cy="701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ind w:left="1134" w:firstLine="0"/>
        <w:jc w:val="both"/>
        <w:rPr>
          <w:rFonts w:ascii="Lato" w:cs="Lato" w:eastAsia="Lato" w:hAnsi="Lato"/>
          <w:b w:val="1"/>
          <w:color w:val="7f7f7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7f7f7f"/>
          <w:sz w:val="24"/>
          <w:szCs w:val="24"/>
          <w:rtl w:val="0"/>
        </w:rPr>
        <w:br w:type="textWrapping"/>
      </w:r>
      <w:sdt>
        <w:sdtPr>
          <w:id w:val="788036484"/>
          <w:tag w:val="goog_rdk_10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Օգտագործե՛ք հասարակական տրանսպորտ կամ հեծանիվներ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4" w:firstLine="0"/>
        <w:jc w:val="both"/>
        <w:rPr>
          <w:rFonts w:ascii="Lato" w:cs="Lato" w:eastAsia="Lato" w:hAnsi="Lato"/>
          <w:color w:val="70ad47"/>
          <w:sz w:val="24"/>
          <w:szCs w:val="24"/>
        </w:rPr>
      </w:pPr>
      <w:sdt>
        <w:sdtPr>
          <w:id w:val="1831868142"/>
          <w:tag w:val="goog_rdk_11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Հեծանիվները, ավտոբուսը, գնացքը և մետրոն էկոլոգիապես ավելի մաքուր փոխադրման միջոցներ են, քան մեքենաները: Հասարակական տրանսպորտի և հեծանիվների վարձակալության մասին տեղեկություններ կարող եք գտնել առցանց կամ հարցրեք ընդունարանում: Եթե բախտը Ձեզ ժպտա, Ձեր հյուրանոցը կարող է նույնիսկ հեծանիվներ ունենալ վարձակալության համար:</w:t>
            <w:br w:type="textWrapping"/>
            <w:br w:type="textWrapping"/>
          </w:r>
        </w:sdtContent>
      </w:sdt>
      <w:sdt>
        <w:sdtPr>
          <w:id w:val="1703631999"/>
          <w:tag w:val="goog_rdk_12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Կիսվե՛ք ձեր կարծիքներով հյուրանոցի էկոլոգիական նախաձեռնությունների վերաբերյալ։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-104774</wp:posOffset>
            </wp:positionH>
            <wp:positionV relativeFrom="paragraph">
              <wp:posOffset>912940</wp:posOffset>
            </wp:positionV>
            <wp:extent cx="669290" cy="731071"/>
            <wp:effectExtent b="0" l="0" r="0" t="0"/>
            <wp:wrapNone/>
            <wp:docPr id="7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731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ind w:left="1134" w:firstLine="0"/>
        <w:jc w:val="both"/>
        <w:rPr>
          <w:rFonts w:ascii="Lato" w:cs="Lato" w:eastAsia="Lato" w:hAnsi="Lato"/>
          <w:b w:val="1"/>
          <w:color w:val="7f7f7f"/>
          <w:sz w:val="24"/>
          <w:szCs w:val="24"/>
        </w:rPr>
      </w:pPr>
      <w:sdt>
        <w:sdtPr>
          <w:id w:val="1950655580"/>
          <w:tag w:val="goog_rdk_13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Green Key-ը ողջունում է կարծիքները, մտքերը և գաղափարներն իր սերտիֆիկացված կառույցների կանաչ նախաձեռնությունների վերաբերյալ։ Խնդրում ենք այցելել մեր կայք՝ www.greenkey.global/contact-us/, ձեր մեկնաբանությունը թողնելու համար, և մենք հնարավորինս շուտ կարձագանքենք դրան:</w:t>
            <w:br w:type="textWrapping"/>
            <w:br w:type="textWrapping"/>
          </w:r>
        </w:sdtContent>
      </w:sdt>
      <w:sdt>
        <w:sdtPr>
          <w:id w:val="157356059"/>
          <w:tag w:val="goog_rdk_14"/>
        </w:sdtPr>
        <w:sdtContent>
          <w:r w:rsidDel="00000000" w:rsidR="00000000" w:rsidRPr="00000000">
            <w:rPr>
              <w:rFonts w:ascii="Tahoma" w:cs="Tahoma" w:eastAsia="Tahoma" w:hAnsi="Tahoma"/>
              <w:b w:val="1"/>
              <w:color w:val="70ad47"/>
              <w:sz w:val="24"/>
              <w:szCs w:val="24"/>
              <w:rtl w:val="0"/>
            </w:rPr>
            <w:t xml:space="preserve">Գտե՛ք կանաչ և կապույտ փորձառություններ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-220979</wp:posOffset>
            </wp:positionH>
            <wp:positionV relativeFrom="paragraph">
              <wp:posOffset>870394</wp:posOffset>
            </wp:positionV>
            <wp:extent cx="786809" cy="659218"/>
            <wp:effectExtent b="0" l="0" r="0" t="0"/>
            <wp:wrapNone/>
            <wp:docPr id="71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809" cy="6592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ind w:left="1134" w:firstLine="0"/>
        <w:jc w:val="both"/>
        <w:rPr>
          <w:rFonts w:ascii="Lato" w:cs="Lato" w:eastAsia="Lato" w:hAnsi="Lato"/>
          <w:color w:val="7f7f7f"/>
          <w:sz w:val="24"/>
          <w:szCs w:val="24"/>
        </w:rPr>
      </w:pPr>
      <w:sdt>
        <w:sdtPr>
          <w:id w:val="-1617736187"/>
          <w:tag w:val="goog_rdk_15"/>
        </w:sdtPr>
        <w:sdtContent>
          <w:r w:rsidDel="00000000" w:rsidR="00000000" w:rsidRPr="00000000">
            <w:rPr>
              <w:rFonts w:ascii="Tahoma" w:cs="Tahoma" w:eastAsia="Tahoma" w:hAnsi="Tahoma"/>
              <w:color w:val="7f7f7f"/>
              <w:sz w:val="24"/>
              <w:szCs w:val="24"/>
              <w:rtl w:val="0"/>
            </w:rPr>
            <w:t xml:space="preserve">Ձեր հյուրանոցի շրջակայքում կամ մոտակայքում կարող են լինել կանաչ տարածքներ, արշավային, հեծանվային կամ վազքի ուղիներ կամ այլ կանաչապատ տարածքներ։ Փնտրե՛ք ձեր փորձառությունները առցանց կամ դիմեք ընդունարան։</w:t>
          </w:r>
        </w:sdtContent>
      </w:sdt>
    </w:p>
    <w:sectPr>
      <w:type w:val="continuous"/>
      <w:pgSz w:h="16838" w:w="11906" w:orient="portrait"/>
      <w:pgMar w:bottom="1701" w:top="1701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1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7f7f7f"/>
          <w:sz w:val="22"/>
          <w:szCs w:val="22"/>
          <w:u w:val="none"/>
          <w:shd w:fill="auto" w:val="clear"/>
          <w:vertAlign w:val="baseline"/>
          <w:rtl w:val="0"/>
        </w:rPr>
        <w:t xml:space="preserve">www.greenkey.global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3778085</wp:posOffset>
          </wp:positionH>
          <wp:positionV relativeFrom="paragraph">
            <wp:posOffset>-143246</wp:posOffset>
          </wp:positionV>
          <wp:extent cx="429049" cy="419100"/>
          <wp:effectExtent b="0" l="0" r="0" t="0"/>
          <wp:wrapNone/>
          <wp:docPr id="7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577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F109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1097"/>
  </w:style>
  <w:style w:type="paragraph" w:styleId="Footer">
    <w:name w:val="footer"/>
    <w:basedOn w:val="Normal"/>
    <w:link w:val="FooterChar"/>
    <w:uiPriority w:val="99"/>
    <w:unhideWhenUsed w:val="1"/>
    <w:rsid w:val="00BF109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1097"/>
  </w:style>
  <w:style w:type="character" w:styleId="Emphasis">
    <w:name w:val="Emphasis"/>
    <w:basedOn w:val="DefaultParagraphFont"/>
    <w:uiPriority w:val="20"/>
    <w:qFormat w:val="1"/>
    <w:rsid w:val="00BF1097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D417E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reenkey.global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8qFy3wBwQnXhgcl3FYF/f7dWQg==">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2017-09-11T12:47:00Z</dcterms:created>
  <dc:creator>Emmi Kallio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