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240" w:lineRule="auto"/>
        <w:rPr>
          <w:rFonts w:ascii="Lato" w:cs="Lato" w:eastAsia="Lato" w:hAnsi="Lato"/>
          <w:color w:val="00b050"/>
          <w:sz w:val="24"/>
          <w:szCs w:val="24"/>
        </w:rPr>
      </w:pPr>
      <w:r w:rsidDel="00000000" w:rsidR="00000000" w:rsidRPr="00000000">
        <w:rPr>
          <w:rFonts w:ascii="Lato" w:cs="Lato" w:eastAsia="Lato" w:hAnsi="Lato"/>
          <w:color w:val="00b050"/>
          <w:sz w:val="24"/>
          <w:szCs w:val="24"/>
          <w:rtl w:val="0"/>
        </w:rPr>
        <w:t xml:space="preserve">Green Key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Green Key is a voluntary eco-certification programme for hotels, hostels, campsites, holiday parks, small accommodations as well as conference centres, attractions and restaurants.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The Green Key certification is based on compliance with strict internationally recognised criteria in the areas of environmental management (water, energy, waste, cleaning, etc.) and sustainability education (staff, guests, suppliers, etc.).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Compliance with the criteria is confirmed through a rigorous application process and third-party verified after regular on-site audits. The certification is valid for one year at a time.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Currently (</w:t>
      </w:r>
      <w:r w:rsidDel="00000000" w:rsidR="00000000" w:rsidRPr="00000000">
        <w:rPr>
          <w:rFonts w:ascii="Lato" w:cs="Lato" w:eastAsia="Lato" w:hAnsi="Lato"/>
          <w:rtl w:val="0"/>
        </w:rPr>
        <w:t xml:space="preserve">February</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202</w:t>
      </w:r>
      <w:r w:rsidDel="00000000" w:rsidR="00000000" w:rsidRPr="00000000">
        <w:rPr>
          <w:rFonts w:ascii="Lato" w:cs="Lato" w:eastAsia="Lato" w:hAnsi="Lato"/>
          <w:rtl w:val="0"/>
        </w:rPr>
        <w:t xml:space="preserve">5</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there are more than </w:t>
      </w:r>
      <w:r w:rsidDel="00000000" w:rsidR="00000000" w:rsidRPr="00000000">
        <w:rPr>
          <w:rFonts w:ascii="Lato" w:cs="Lato" w:eastAsia="Lato" w:hAnsi="Lato"/>
          <w:rtl w:val="0"/>
        </w:rPr>
        <w:t xml:space="preserve">7900</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establishments in </w:t>
      </w:r>
      <w:r w:rsidDel="00000000" w:rsidR="00000000" w:rsidRPr="00000000">
        <w:rPr>
          <w:rFonts w:ascii="Lato" w:cs="Lato" w:eastAsia="Lato" w:hAnsi="Lato"/>
          <w:rtl w:val="0"/>
        </w:rPr>
        <w:t xml:space="preserve">9</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0 countries certified with the Green Key.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singl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Green Key is endorsed by various institutional partners, international hotel chain and tour operator partners and cooperating with a range of web partners. </w:t>
      </w:r>
      <w:r w:rsidDel="00000000" w:rsidR="00000000" w:rsidRPr="00000000">
        <w:rPr>
          <w:rFonts w:ascii="Lato" w:cs="Lato" w:eastAsia="Lato" w:hAnsi="Lato"/>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singl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The Green Key programme is managed by the international charity, the Foundation for Environmental Education (FEE) and its national member organisations.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0"/>
          <w:i w:val="0"/>
          <w:smallCaps w:val="0"/>
          <w:strike w:val="0"/>
          <w:color w:val="000000"/>
          <w:sz w:val="22"/>
          <w:szCs w:val="22"/>
          <w:u w:val="none"/>
          <w:shd w:fill="auto" w:val="clear"/>
          <w:vertAlign w:val="baseline"/>
        </w:rPr>
      </w:pP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For more information, please have a look at the Green Key website </w:t>
      </w:r>
      <w:hyperlink r:id="rId7">
        <w:r w:rsidDel="00000000" w:rsidR="00000000" w:rsidRPr="00000000">
          <w:rPr>
            <w:rFonts w:ascii="Lato" w:cs="Lato" w:eastAsia="Lato" w:hAnsi="Lato"/>
            <w:b w:val="0"/>
            <w:i w:val="0"/>
            <w:smallCaps w:val="0"/>
            <w:strike w:val="0"/>
            <w:color w:val="1155cc"/>
            <w:sz w:val="22"/>
            <w:szCs w:val="22"/>
            <w:u w:val="single"/>
            <w:shd w:fill="auto" w:val="clear"/>
            <w:vertAlign w:val="baseline"/>
            <w:rtl w:val="0"/>
          </w:rPr>
          <w:t xml:space="preserve">https://greenkey.issdngo.com/en/</w:t>
        </w:r>
      </w:hyperlink>
      <w:r w:rsidDel="00000000" w:rsidR="00000000" w:rsidRPr="00000000">
        <w:rPr>
          <w:rFonts w:ascii="Lato" w:cs="Lato" w:eastAsia="Lato" w:hAnsi="Lato"/>
          <w:rtl w:val="0"/>
        </w:rPr>
        <w:t xml:space="preserve">, </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t>
      </w:r>
      <w:hyperlink r:id="rId8">
        <w:r w:rsidDel="00000000" w:rsidR="00000000" w:rsidRPr="00000000">
          <w:rPr>
            <w:rFonts w:ascii="Lato" w:cs="Lato" w:eastAsia="Lato" w:hAnsi="Lato"/>
            <w:b w:val="0"/>
            <w:i w:val="0"/>
            <w:smallCaps w:val="0"/>
            <w:strike w:val="0"/>
            <w:color w:val="0563c1"/>
            <w:sz w:val="22"/>
            <w:szCs w:val="22"/>
            <w:u w:val="single"/>
            <w:shd w:fill="auto" w:val="clear"/>
            <w:vertAlign w:val="baseline"/>
            <w:rtl w:val="0"/>
          </w:rPr>
          <w:t xml:space="preserve">www.greenkey.global</w:t>
        </w:r>
      </w:hyperlink>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 or contact via e-mail (</w:t>
      </w:r>
      <w:hyperlink r:id="rId9">
        <w:r w:rsidDel="00000000" w:rsidR="00000000" w:rsidRPr="00000000">
          <w:rPr>
            <w:rFonts w:ascii="Lato" w:cs="Lato" w:eastAsia="Lato" w:hAnsi="Lato"/>
            <w:b w:val="0"/>
            <w:i w:val="0"/>
            <w:smallCaps w:val="0"/>
            <w:strike w:val="0"/>
            <w:color w:val="0563c1"/>
            <w:sz w:val="22"/>
            <w:szCs w:val="22"/>
            <w:u w:val="single"/>
            <w:shd w:fill="auto" w:val="clear"/>
            <w:vertAlign w:val="baseline"/>
            <w:rtl w:val="0"/>
          </w:rPr>
          <w:t xml:space="preserve">info@fee.global</w:t>
        </w:r>
      </w:hyperlink>
      <w:r w:rsidDel="00000000" w:rsidR="00000000" w:rsidRPr="00000000">
        <w:rPr>
          <w:rFonts w:ascii="Lato" w:cs="Lato" w:eastAsia="Lato" w:hAnsi="Lato"/>
          <w:b w:val="0"/>
          <w:i w:val="0"/>
          <w:smallCaps w:val="0"/>
          <w:strike w:val="0"/>
          <w:color w:val="0563c1"/>
          <w:sz w:val="22"/>
          <w:szCs w:val="22"/>
          <w:u w:val="single"/>
          <w:shd w:fill="auto" w:val="clear"/>
          <w:vertAlign w:val="baseline"/>
          <w:rtl w:val="0"/>
        </w:rPr>
        <w:t xml:space="preserve">)</w:t>
      </w:r>
      <w:r w:rsidDel="00000000" w:rsidR="00000000" w:rsidRPr="00000000">
        <w:rPr>
          <w:rFonts w:ascii="Lato" w:cs="Lato" w:eastAsia="Lato" w:hAnsi="Lato"/>
          <w:b w:val="0"/>
          <w:i w:val="0"/>
          <w:smallCaps w:val="0"/>
          <w:strike w:val="0"/>
          <w:color w:val="000000"/>
          <w:sz w:val="22"/>
          <w:szCs w:val="22"/>
          <w:u w:val="none"/>
          <w:shd w:fill="auto" w:val="clear"/>
          <w:vertAlign w:val="baseline"/>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503A19"/>
    <w:pPr>
      <w:spacing w:after="0" w:line="240" w:lineRule="auto"/>
    </w:pPr>
  </w:style>
  <w:style w:type="character" w:styleId="Hyperlink">
    <w:name w:val="Hyperlink"/>
    <w:basedOn w:val="DefaultParagraphFont"/>
    <w:uiPriority w:val="99"/>
    <w:unhideWhenUsed w:val="1"/>
    <w:rsid w:val="00503A19"/>
    <w:rPr>
      <w:color w:val="0563c1" w:themeColor="hyperlink"/>
      <w:u w:val="single"/>
    </w:rPr>
  </w:style>
  <w:style w:type="character" w:styleId="UnresolvedMention">
    <w:name w:val="Unresolved Mention"/>
    <w:basedOn w:val="DefaultParagraphFont"/>
    <w:uiPriority w:val="99"/>
    <w:semiHidden w:val="1"/>
    <w:unhideWhenUsed w:val="1"/>
    <w:rsid w:val="00B94E3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fee.globa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eenkey.issdngo.com/en/" TargetMode="External"/><Relationship Id="rId8" Type="http://schemas.openxmlformats.org/officeDocument/2006/relationships/hyperlink" Target="http://www.greenkey.glob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IwbCji424YHR+38CgLxQmPmuQ==">CgMxLjA4AHIhMUR1UG0zaDREaGNucFJWcl9iMFpPVXNtX29NSXZ5Nnh5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2022-09-07T11:51:00Z</dcterms:created>
  <dc:creator>Isabel Lissner</dc:creator>
</cp:coreProperties>
</file>